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955A" w14:textId="77777777" w:rsidR="00CA0B3E" w:rsidRDefault="00000000">
      <w:pPr>
        <w:pStyle w:val="TijeloA"/>
        <w:jc w:val="center"/>
        <w:rPr>
          <w:rFonts w:ascii="Merriweather Bold" w:eastAsia="Merriweather Bold" w:hAnsi="Merriweather Bold" w:cs="Merriweather Bold"/>
          <w:sz w:val="16"/>
          <w:szCs w:val="16"/>
        </w:rPr>
      </w:pPr>
      <w:r>
        <w:rPr>
          <w:rFonts w:ascii="Merriweather Bold" w:hAnsi="Merriweather Bold"/>
          <w:sz w:val="16"/>
          <w:szCs w:val="16"/>
        </w:rPr>
        <w:t>Izvedbeni plan nastave (syllabus</w:t>
      </w:r>
      <w:r>
        <w:rPr>
          <w:rFonts w:ascii="Merriweather Regular" w:eastAsia="Merriweather Regular" w:hAnsi="Merriweather Regular" w:cs="Merriweather Regular"/>
          <w:sz w:val="16"/>
          <w:szCs w:val="16"/>
          <w:vertAlign w:val="superscript"/>
        </w:rPr>
        <w:footnoteReference w:id="2"/>
      </w:r>
      <w:r>
        <w:rPr>
          <w:rFonts w:ascii="Merriweather Bold" w:hAnsi="Merriweather Bold"/>
          <w:sz w:val="16"/>
          <w:szCs w:val="16"/>
        </w:rPr>
        <w:t>)</w:t>
      </w:r>
    </w:p>
    <w:tbl>
      <w:tblPr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3"/>
        <w:gridCol w:w="441"/>
        <w:gridCol w:w="280"/>
        <w:gridCol w:w="180"/>
        <w:gridCol w:w="157"/>
        <w:gridCol w:w="161"/>
        <w:gridCol w:w="158"/>
        <w:gridCol w:w="160"/>
        <w:gridCol w:w="156"/>
        <w:gridCol w:w="163"/>
        <w:gridCol w:w="207"/>
        <w:gridCol w:w="159"/>
        <w:gridCol w:w="488"/>
        <w:gridCol w:w="159"/>
        <w:gridCol w:w="158"/>
        <w:gridCol w:w="159"/>
        <w:gridCol w:w="158"/>
        <w:gridCol w:w="160"/>
        <w:gridCol w:w="367"/>
        <w:gridCol w:w="211"/>
        <w:gridCol w:w="277"/>
        <w:gridCol w:w="186"/>
        <w:gridCol w:w="403"/>
        <w:gridCol w:w="159"/>
        <w:gridCol w:w="159"/>
        <w:gridCol w:w="10"/>
        <w:gridCol w:w="147"/>
        <w:gridCol w:w="348"/>
        <w:gridCol w:w="159"/>
        <w:gridCol w:w="159"/>
        <w:gridCol w:w="158"/>
        <w:gridCol w:w="200"/>
        <w:gridCol w:w="158"/>
        <w:gridCol w:w="938"/>
      </w:tblGrid>
      <w:tr w:rsidR="00CA0B3E" w14:paraId="135FF516" w14:textId="77777777" w:rsidTr="00CE55C8">
        <w:trPr>
          <w:trHeight w:val="46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886AB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Sastavnica</w:t>
            </w:r>
          </w:p>
        </w:tc>
        <w:tc>
          <w:tcPr>
            <w:tcW w:w="5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33A52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Odjel za povijest umjetnosti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1A5B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</w:rPr>
              <w:t>akad. god.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CE23B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Regular" w:hAnsi="Merriweather Regular"/>
                <w:sz w:val="18"/>
                <w:szCs w:val="18"/>
              </w:rPr>
              <w:t>2025./2026.</w:t>
            </w:r>
          </w:p>
        </w:tc>
      </w:tr>
      <w:tr w:rsidR="00CA0B3E" w14:paraId="585B9AEA" w14:textId="77777777" w:rsidTr="00CE55C8">
        <w:trPr>
          <w:trHeight w:val="48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0603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Naziv kolegija</w:t>
            </w:r>
          </w:p>
        </w:tc>
        <w:tc>
          <w:tcPr>
            <w:tcW w:w="5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583B2" w14:textId="77777777" w:rsidR="00CA0B3E" w:rsidRDefault="00000000">
            <w:pPr>
              <w:pStyle w:val="TijeloA"/>
              <w:spacing w:before="20" w:after="20"/>
              <w:jc w:val="center"/>
              <w:rPr>
                <w:rFonts w:ascii="Merriweather Bold" w:eastAsia="Merriweather Bold" w:hAnsi="Merriweather Bold" w:cs="Merriweather Bold"/>
                <w:sz w:val="18"/>
                <w:szCs w:val="18"/>
              </w:rPr>
            </w:pPr>
            <w:r>
              <w:rPr>
                <w:rFonts w:ascii="Merriweather Bold" w:hAnsi="Merriweather Bold"/>
                <w:sz w:val="18"/>
                <w:szCs w:val="18"/>
              </w:rPr>
              <w:t>UMJETNOST DREVNIH CIVILIZACIJA</w:t>
            </w:r>
          </w:p>
          <w:p w14:paraId="7F2A1F00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</w:rPr>
              <w:t>I ANTIČKE GRČKE</w:t>
            </w:r>
          </w:p>
        </w:tc>
        <w:tc>
          <w:tcPr>
            <w:tcW w:w="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2CF4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ECTS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D3A1F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8"/>
                <w:szCs w:val="18"/>
              </w:rPr>
              <w:t>8</w:t>
            </w:r>
          </w:p>
        </w:tc>
      </w:tr>
      <w:tr w:rsidR="00CA0B3E" w14:paraId="765B3F73" w14:textId="77777777" w:rsidTr="00CE55C8">
        <w:trPr>
          <w:trHeight w:val="2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F353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Naziv studija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D9BB6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8"/>
                <w:szCs w:val="18"/>
              </w:rPr>
              <w:t>Preddiplomski jednopredmetni sveučilišni studij povijesti umjetnosti</w:t>
            </w:r>
          </w:p>
        </w:tc>
      </w:tr>
      <w:tr w:rsidR="00CA0B3E" w14:paraId="0E5029E6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E10AC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Razina studija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64A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preddiplomski </w:t>
            </w:r>
          </w:p>
        </w:tc>
        <w:tc>
          <w:tcPr>
            <w:tcW w:w="1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85FF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diplomski</w:t>
            </w:r>
          </w:p>
        </w:tc>
        <w:tc>
          <w:tcPr>
            <w:tcW w:w="1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7E1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integrirani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6597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poslijediplomski</w:t>
            </w:r>
          </w:p>
        </w:tc>
      </w:tr>
      <w:tr w:rsidR="00CA0B3E" w14:paraId="4A5CA59A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42071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Godina studija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D584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1.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FA13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2.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8682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3.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0E96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4.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7D03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5.</w:t>
            </w:r>
          </w:p>
        </w:tc>
      </w:tr>
      <w:tr w:rsidR="00CA0B3E" w14:paraId="4A32E524" w14:textId="77777777" w:rsidTr="00CE55C8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9DEEF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Semestar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A566F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zimski</w:t>
            </w:r>
          </w:p>
          <w:p w14:paraId="31D2B179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ljetni</w:t>
            </w:r>
          </w:p>
        </w:tc>
        <w:tc>
          <w:tcPr>
            <w:tcW w:w="1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3DE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I.</w:t>
            </w:r>
          </w:p>
        </w:tc>
        <w:tc>
          <w:tcPr>
            <w:tcW w:w="1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7BE8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II.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556F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III.</w:t>
            </w:r>
          </w:p>
        </w:tc>
        <w:tc>
          <w:tcPr>
            <w:tcW w:w="1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67A0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IV.</w:t>
            </w:r>
          </w:p>
        </w:tc>
        <w:tc>
          <w:tcPr>
            <w:tcW w:w="1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53EA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V.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94A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VI.</w:t>
            </w:r>
          </w:p>
        </w:tc>
      </w:tr>
      <w:tr w:rsidR="00CA0B3E" w14:paraId="0BB86988" w14:textId="77777777" w:rsidTr="00CE55C8">
        <w:trPr>
          <w:trHeight w:val="6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6B33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Status kolegija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4431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obvezni kolegij</w:t>
            </w:r>
          </w:p>
        </w:tc>
        <w:tc>
          <w:tcPr>
            <w:tcW w:w="13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2DC46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izborni kolegij</w:t>
            </w:r>
          </w:p>
        </w:tc>
        <w:tc>
          <w:tcPr>
            <w:tcW w:w="27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466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6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F3A5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Nastavničke kompetencije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CAE7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</w:rPr>
              <w:t xml:space="preserve"> DA</w:t>
            </w:r>
          </w:p>
          <w:p w14:paraId="188D9C7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  <w:lang w:val="de-DE"/>
              </w:rPr>
              <w:t xml:space="preserve"> NE</w:t>
            </w:r>
          </w:p>
        </w:tc>
      </w:tr>
      <w:tr w:rsidR="00CA0B3E" w14:paraId="1D1F7165" w14:textId="77777777" w:rsidTr="00CE55C8">
        <w:trPr>
          <w:trHeight w:val="30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52C44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 xml:space="preserve">Opterećenje 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FF448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30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2BAD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P</w:t>
            </w:r>
          </w:p>
        </w:tc>
        <w:tc>
          <w:tcPr>
            <w:tcW w:w="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4432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Regular" w:hAnsi="Merriweather Regular"/>
                <w:sz w:val="16"/>
                <w:szCs w:val="16"/>
              </w:rPr>
              <w:t>30</w:t>
            </w:r>
          </w:p>
        </w:tc>
        <w:tc>
          <w:tcPr>
            <w:tcW w:w="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FC6A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S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6EF0" w14:textId="77777777" w:rsidR="00CA0B3E" w:rsidRDefault="00CA0B3E"/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3AD66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V</w:t>
            </w:r>
          </w:p>
        </w:tc>
        <w:tc>
          <w:tcPr>
            <w:tcW w:w="290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1572" w14:textId="77777777" w:rsidR="00CA0B3E" w:rsidRDefault="00000000">
            <w:pPr>
              <w:pStyle w:val="TijeloA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Mrežne stranice kolegija</w:t>
            </w:r>
          </w:p>
        </w:tc>
        <w:tc>
          <w:tcPr>
            <w:tcW w:w="1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385C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S Gothic" w:hAnsi="MS Gothic"/>
                <w:sz w:val="16"/>
                <w:szCs w:val="16"/>
              </w:rPr>
              <w:t>☒</w:t>
            </w:r>
            <w:r>
              <w:rPr>
                <w:rFonts w:ascii="Merriweather Regular" w:hAnsi="Merriweather Regular"/>
                <w:sz w:val="16"/>
                <w:szCs w:val="16"/>
                <w:lang w:val="pt-PT"/>
              </w:rPr>
              <w:t xml:space="preserve"> DA </w:t>
            </w:r>
            <w:r>
              <w:rPr>
                <w:rFonts w:ascii="MS Gothic" w:hAnsi="MS Gothic"/>
                <w:sz w:val="16"/>
                <w:szCs w:val="16"/>
              </w:rPr>
              <w:t>☐</w:t>
            </w:r>
            <w:r>
              <w:rPr>
                <w:rFonts w:ascii="Merriweather Regular" w:hAnsi="Merriweather Regular"/>
                <w:sz w:val="16"/>
                <w:szCs w:val="16"/>
                <w:lang w:val="de-DE"/>
              </w:rPr>
              <w:t xml:space="preserve"> NE</w:t>
            </w:r>
          </w:p>
        </w:tc>
      </w:tr>
      <w:tr w:rsidR="00CA0B3E" w14:paraId="6062EA64" w14:textId="77777777" w:rsidTr="00CE55C8">
        <w:trPr>
          <w:trHeight w:val="6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E437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Mjesto i vrijeme izvođenja nastave</w:t>
            </w:r>
          </w:p>
        </w:tc>
        <w:tc>
          <w:tcPr>
            <w:tcW w:w="28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8F87B" w14:textId="77777777" w:rsidR="00CA0B3E" w:rsidRDefault="00000000">
            <w:pPr>
              <w:pStyle w:val="Standardn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6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Srijedom, 14-16 sati, dv. 113 (P)</w:t>
            </w:r>
          </w:p>
          <w:p w14:paraId="19A1731C" w14:textId="77777777" w:rsidR="00CA0B3E" w:rsidRDefault="00000000">
            <w:pPr>
              <w:pStyle w:val="Standardn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6" w:line="240" w:lineRule="auto"/>
            </w:pPr>
            <w:r>
              <w:rPr>
                <w:sz w:val="16"/>
                <w:szCs w:val="16"/>
              </w:rPr>
              <w:t>Srijedom, 10-12 sati, dv. 114 (S)</w:t>
            </w:r>
          </w:p>
        </w:tc>
        <w:tc>
          <w:tcPr>
            <w:tcW w:w="2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9A65A" w14:textId="77777777" w:rsidR="00CA0B3E" w:rsidRDefault="00000000">
            <w:pPr>
              <w:pStyle w:val="TijeloA"/>
              <w:spacing w:before="20" w:after="20"/>
              <w:jc w:val="center"/>
            </w:pPr>
            <w:r>
              <w:rPr>
                <w:rFonts w:ascii="Merriweather Bold" w:hAnsi="Merriweather Bold"/>
                <w:sz w:val="16"/>
                <w:szCs w:val="16"/>
              </w:rPr>
              <w:t>Jezik/jezici na kojima se izvodi kolegij</w:t>
            </w:r>
          </w:p>
        </w:tc>
        <w:tc>
          <w:tcPr>
            <w:tcW w:w="2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FB8D8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hrvatski</w:t>
            </w:r>
          </w:p>
        </w:tc>
      </w:tr>
      <w:tr w:rsidR="00CA0B3E" w14:paraId="639DD37B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6F9CF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Početak nastave</w:t>
            </w:r>
          </w:p>
        </w:tc>
        <w:tc>
          <w:tcPr>
            <w:tcW w:w="28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613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8. 10. 2025.</w:t>
            </w:r>
          </w:p>
        </w:tc>
        <w:tc>
          <w:tcPr>
            <w:tcW w:w="2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0BE8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Završetak nastave</w:t>
            </w:r>
          </w:p>
        </w:tc>
        <w:tc>
          <w:tcPr>
            <w:tcW w:w="25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B77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21. 1. 2026.</w:t>
            </w:r>
          </w:p>
        </w:tc>
      </w:tr>
      <w:tr w:rsidR="00CA0B3E" w14:paraId="36F37868" w14:textId="77777777" w:rsidTr="00CE55C8">
        <w:trPr>
          <w:trHeight w:val="4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701CE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Preduvjeti za upis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19C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upisan studij povijesti umjetnosti</w:t>
            </w:r>
          </w:p>
        </w:tc>
      </w:tr>
      <w:tr w:rsidR="00CA0B3E" w14:paraId="1A2A0B22" w14:textId="77777777">
        <w:trPr>
          <w:trHeight w:val="300"/>
          <w:jc w:val="center"/>
        </w:trPr>
        <w:tc>
          <w:tcPr>
            <w:tcW w:w="906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0AB1" w14:textId="77777777" w:rsidR="00CA0B3E" w:rsidRDefault="00CA0B3E"/>
        </w:tc>
      </w:tr>
      <w:tr w:rsidR="00CA0B3E" w14:paraId="2A1CFEA3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E13B" w14:textId="77777777" w:rsidR="00CA0B3E" w:rsidRDefault="00000000">
            <w:pPr>
              <w:pStyle w:val="TijeloA"/>
              <w:spacing w:before="20" w:after="20"/>
            </w:pPr>
            <w:r>
              <w:rPr>
                <w:rFonts w:ascii="Merriweather Bold" w:hAnsi="Merriweather Bold"/>
                <w:sz w:val="16"/>
                <w:szCs w:val="16"/>
              </w:rPr>
              <w:t>Nositelj kolegija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720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Fonts w:ascii="Merriweather Regular" w:hAnsi="Merriweather Regular"/>
                <w:sz w:val="16"/>
                <w:szCs w:val="16"/>
              </w:rPr>
              <w:t>doc. dr. sc. Meri Zornija</w:t>
            </w:r>
          </w:p>
        </w:tc>
      </w:tr>
      <w:tr w:rsidR="00CA0B3E" w14:paraId="5A5714AC" w14:textId="77777777" w:rsidTr="00CE55C8">
        <w:trPr>
          <w:trHeight w:val="4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7E5E" w14:textId="77777777" w:rsidR="00CA0B3E" w:rsidRDefault="00000000">
            <w:pPr>
              <w:pStyle w:val="TijeloA"/>
              <w:spacing w:before="20" w:after="20"/>
              <w:jc w:val="right"/>
            </w:pPr>
            <w:r>
              <w:rPr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9BD1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hyperlink r:id="rId7" w:history="1">
              <w:r>
                <w:rPr>
                  <w:rStyle w:val="Hyperlink0"/>
                </w:rPr>
                <w:t>mezornija@unizd.hr</w:t>
              </w:r>
            </w:hyperlink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8904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853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Četvrtkom, 15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6 sati ili mailom</w:t>
            </w:r>
          </w:p>
        </w:tc>
      </w:tr>
      <w:tr w:rsidR="00CA0B3E" w14:paraId="291883FF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0331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Izvođač kolegija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608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doc. dr. sc. Meri Zornija</w:t>
            </w:r>
          </w:p>
        </w:tc>
      </w:tr>
      <w:tr w:rsidR="00CA0B3E" w14:paraId="7EF2D188" w14:textId="77777777" w:rsidTr="00CE55C8">
        <w:trPr>
          <w:trHeight w:val="30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9CC3" w14:textId="77777777" w:rsidR="00CA0B3E" w:rsidRDefault="00000000">
            <w:pPr>
              <w:pStyle w:val="TijeloA"/>
              <w:spacing w:before="20" w:after="20"/>
              <w:jc w:val="right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6B77D" w14:textId="77777777" w:rsidR="00CA0B3E" w:rsidRDefault="00CA0B3E"/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9F74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103FE" w14:textId="77777777" w:rsidR="00CA0B3E" w:rsidRDefault="00CA0B3E"/>
        </w:tc>
      </w:tr>
      <w:tr w:rsidR="00CA0B3E" w14:paraId="45D970B5" w14:textId="77777777" w:rsidTr="00CE55C8">
        <w:trPr>
          <w:trHeight w:val="4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3955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Suradnici na kolegiju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D441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lang w:val="pt-PT"/>
              </w:rPr>
              <w:t xml:space="preserve">Antonela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Čelan, mag. hist. art.</w:t>
            </w:r>
          </w:p>
        </w:tc>
      </w:tr>
      <w:tr w:rsidR="00CA0B3E" w14:paraId="5F585D75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5A77F" w14:textId="77777777" w:rsidR="00CA0B3E" w:rsidRDefault="00000000">
            <w:pPr>
              <w:pStyle w:val="TijeloA"/>
              <w:spacing w:before="20" w:after="20"/>
              <w:jc w:val="right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E-mail</w:t>
            </w:r>
          </w:p>
        </w:tc>
        <w:tc>
          <w:tcPr>
            <w:tcW w:w="387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818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hyperlink r:id="rId8" w:history="1">
              <w:r>
                <w:rPr>
                  <w:rStyle w:val="Hyperlink0"/>
                </w:rPr>
                <w:t>acelan@unizd.hr</w:t>
              </w:r>
            </w:hyperlink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</w:t>
            </w: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584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Konzultacije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85E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Srijedom, 12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ru-RU"/>
              </w:rPr>
              <w:t>-1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3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fr-FR"/>
              </w:rPr>
              <w:t xml:space="preserve"> sati</w:t>
            </w:r>
          </w:p>
        </w:tc>
      </w:tr>
      <w:tr w:rsidR="00CA0B3E" w14:paraId="779F13C3" w14:textId="77777777">
        <w:trPr>
          <w:trHeight w:val="300"/>
          <w:jc w:val="center"/>
        </w:trPr>
        <w:tc>
          <w:tcPr>
            <w:tcW w:w="906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4557" w14:textId="77777777" w:rsidR="00CA0B3E" w:rsidRDefault="00CA0B3E"/>
        </w:tc>
      </w:tr>
      <w:tr w:rsidR="00CA0B3E" w14:paraId="4201C29D" w14:textId="77777777" w:rsidTr="00CE55C8">
        <w:trPr>
          <w:trHeight w:val="42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61507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Vrste izvođenja nastave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18AA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predavanja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2069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seminari i radionice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660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vježbe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D397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47F1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terenska nastava</w:t>
            </w:r>
          </w:p>
        </w:tc>
      </w:tr>
      <w:tr w:rsidR="00CA0B3E" w14:paraId="42CDD629" w14:textId="77777777" w:rsidTr="00CE55C8">
        <w:trPr>
          <w:trHeight w:val="4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3E79C" w14:textId="77777777" w:rsidR="00CA0B3E" w:rsidRDefault="00CA0B3E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3F1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samostalni zadaci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5182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multimedija i mreža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C47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laboratorij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9247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mentorski rad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8443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ostalo</w:t>
            </w:r>
          </w:p>
        </w:tc>
      </w:tr>
      <w:tr w:rsidR="00CA0B3E" w14:paraId="5ECBC263" w14:textId="77777777" w:rsidTr="00CE55C8">
        <w:trPr>
          <w:trHeight w:val="2500"/>
          <w:jc w:val="center"/>
        </w:trPr>
        <w:tc>
          <w:tcPr>
            <w:tcW w:w="3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B71D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lastRenderedPageBreak/>
              <w:t>Ishodi učenja kolegija</w:t>
            </w:r>
          </w:p>
        </w:tc>
        <w:tc>
          <w:tcPr>
            <w:tcW w:w="600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B3A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Kritičko razumijevanje važnih fenomena  i prepoznavanje temeljnih djela likovnih umjetnosti i arhitekture;</w:t>
            </w:r>
          </w:p>
          <w:p w14:paraId="08A782C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Identificiranje temeljnih karakteristika stila razdoblja i njihovo komentiranje putem korištenja ilustrativnog materijala;</w:t>
            </w:r>
          </w:p>
          <w:p w14:paraId="1D502BF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Klasificiranje građe kolegija u jasne opisne kategorije definirane stilom i kronologijom;</w:t>
            </w:r>
          </w:p>
          <w:p w14:paraId="27B2596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Analiziranje i kritičko prosuđivanje likovnih djela i arhitekture razdoblja uz primjenu relevantnih znanja i vještina  paralelno stjecanih na kolegijima prve godine studija;</w:t>
            </w:r>
          </w:p>
          <w:p w14:paraId="001C754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 xml:space="preserve">- Osposobljavanje za samostalnu pripremu i prezentiranje teme na pismeni i usmeni način prema postulatima povijesnoumjetničke  metodologije.  </w:t>
            </w:r>
          </w:p>
        </w:tc>
      </w:tr>
      <w:tr w:rsidR="00CA0B3E" w14:paraId="513D654A" w14:textId="77777777" w:rsidTr="00CE55C8">
        <w:trPr>
          <w:trHeight w:val="1240"/>
          <w:jc w:val="center"/>
        </w:trPr>
        <w:tc>
          <w:tcPr>
            <w:tcW w:w="3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D4681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Ishodi učenja na razini programa</w:t>
            </w:r>
          </w:p>
        </w:tc>
        <w:tc>
          <w:tcPr>
            <w:tcW w:w="600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925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color="FF0000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Znati prepoznati najznačajnije umjetnike i djela te razumjeti značajke i razvoj stilskih razdoblja;</w:t>
            </w:r>
          </w:p>
          <w:p w14:paraId="2D19C8E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u w:color="FF0000"/>
              </w:rPr>
              <w:t>- Kritički definirati kontekst nastanka umjetničkih djela i pojava te prepoznati i provesti analogije, sličnosti i razlike među pojedinim umjetninama i uklopiti ih u određeni vremenski, društveni i kulturni kontekst.</w:t>
            </w:r>
          </w:p>
        </w:tc>
      </w:tr>
      <w:tr w:rsidR="00CA0B3E" w14:paraId="7A4290BA" w14:textId="77777777">
        <w:trPr>
          <w:trHeight w:val="300"/>
          <w:jc w:val="center"/>
        </w:trPr>
        <w:tc>
          <w:tcPr>
            <w:tcW w:w="906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3AF22" w14:textId="77777777" w:rsidR="00CA0B3E" w:rsidRDefault="00CA0B3E"/>
        </w:tc>
      </w:tr>
      <w:tr w:rsidR="00CA0B3E" w14:paraId="016D3FAA" w14:textId="77777777" w:rsidTr="00CE55C8">
        <w:trPr>
          <w:trHeight w:val="42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7268E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Načini praćenja studenata</w:t>
            </w:r>
          </w:p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F008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pohađanje nastave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35CC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priprema za nastavu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518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 xml:space="preserve"> doma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će zadaće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7EF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A71D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istraživanje</w:t>
            </w:r>
          </w:p>
        </w:tc>
      </w:tr>
      <w:tr w:rsidR="00CA0B3E" w14:paraId="5D41EE05" w14:textId="77777777" w:rsidTr="00CE55C8">
        <w:trPr>
          <w:trHeight w:val="6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FFD0D" w14:textId="77777777" w:rsidR="00CA0B3E" w:rsidRDefault="00CA0B3E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C09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praktični rad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7BF7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eksperimentalni rad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8051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izlaganje</w:t>
            </w:r>
          </w:p>
        </w:tc>
        <w:tc>
          <w:tcPr>
            <w:tcW w:w="1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79E7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projekt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8138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 xml:space="preserve"> seminar</w:t>
            </w:r>
          </w:p>
        </w:tc>
      </w:tr>
      <w:tr w:rsidR="00CA0B3E" w14:paraId="549DCEA2" w14:textId="77777777" w:rsidTr="00CE55C8">
        <w:trPr>
          <w:trHeight w:val="2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5516B3" w14:textId="77777777" w:rsidR="00CA0B3E" w:rsidRDefault="00CA0B3E"/>
        </w:tc>
        <w:tc>
          <w:tcPr>
            <w:tcW w:w="1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4A58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kolokvij(i)</w:t>
            </w:r>
          </w:p>
        </w:tc>
        <w:tc>
          <w:tcPr>
            <w:tcW w:w="16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FC18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pismeni ispit</w:t>
            </w:r>
          </w:p>
        </w:tc>
        <w:tc>
          <w:tcPr>
            <w:tcW w:w="13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F3D0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usmeni ispit</w:t>
            </w:r>
          </w:p>
        </w:tc>
        <w:tc>
          <w:tcPr>
            <w:tcW w:w="29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4A36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ostalo:</w:t>
            </w:r>
          </w:p>
        </w:tc>
      </w:tr>
      <w:tr w:rsidR="00CA0B3E" w14:paraId="3FF06AE0" w14:textId="77777777" w:rsidTr="00CE55C8">
        <w:trPr>
          <w:trHeight w:val="6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CEE73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Uvjeti pristupanja ispitu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843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Studenti su dužni odslušati najmanje 70% predavanja, te sudjelovati u radu i diskusiji na najmanje 70% seminara. Također, dužni su izraditi seminarski rad u pismenom obliku, te ga prezentirati u vidu usmenog izlaganja (najmanje 20 minuta trajanja).</w:t>
            </w:r>
          </w:p>
        </w:tc>
      </w:tr>
      <w:tr w:rsidR="00CA0B3E" w14:paraId="74E4BB62" w14:textId="77777777" w:rsidTr="00CE55C8">
        <w:trPr>
          <w:trHeight w:val="2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0DEC2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Ispitni rokovi</w:t>
            </w:r>
          </w:p>
        </w:tc>
        <w:tc>
          <w:tcPr>
            <w:tcW w:w="3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619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zimski ispitni rok </w:t>
            </w:r>
          </w:p>
        </w:tc>
        <w:tc>
          <w:tcPr>
            <w:tcW w:w="2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932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ljetni ispitni rok</w:t>
            </w: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15E8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jesenski ispitni rok</w:t>
            </w:r>
          </w:p>
        </w:tc>
      </w:tr>
      <w:tr w:rsidR="00CA0B3E" w14:paraId="1FDEF8FB" w14:textId="77777777" w:rsidTr="00CE55C8">
        <w:trPr>
          <w:trHeight w:val="41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83FC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Termini ispitnih rokova</w:t>
            </w:r>
          </w:p>
        </w:tc>
        <w:tc>
          <w:tcPr>
            <w:tcW w:w="30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504E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bit će objavljeni na webu</w:t>
            </w:r>
          </w:p>
        </w:tc>
        <w:tc>
          <w:tcPr>
            <w:tcW w:w="22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91DA2" w14:textId="77777777" w:rsidR="00CA0B3E" w:rsidRDefault="00CA0B3E"/>
        </w:tc>
        <w:tc>
          <w:tcPr>
            <w:tcW w:w="2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286E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bit će objavljeni na webu</w:t>
            </w:r>
          </w:p>
        </w:tc>
      </w:tr>
      <w:tr w:rsidR="00CA0B3E" w14:paraId="4C45C547" w14:textId="77777777" w:rsidTr="00CE55C8">
        <w:trPr>
          <w:trHeight w:val="4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8894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Termini kolokvija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75FA" w14:textId="77777777" w:rsidR="00CA0B3E" w:rsidRDefault="00000000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kolokvij: u studenom</w:t>
            </w:r>
          </w:p>
          <w:p w14:paraId="0B40B3FE" w14:textId="77777777" w:rsidR="00CA0B3E" w:rsidRDefault="00000000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kolokvij: u prosincu</w:t>
            </w:r>
          </w:p>
        </w:tc>
      </w:tr>
      <w:tr w:rsidR="00CA0B3E" w14:paraId="056D528D" w14:textId="77777777" w:rsidTr="00CE55C8">
        <w:trPr>
          <w:trHeight w:val="6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E22DD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Opis kolegija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4B9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Stjecanje temeljnih činjeničnih i teorijskih spoznaja o umjetnosti drevnih civilizacija Bliskog Istoka (Mezopotamija, Perzija), dinastijskog Egipta, egejskih civilizacija brončanog doba (Kikladi, Kreta, Mikena) te o umjetnosti antičke Grčke.</w:t>
            </w:r>
          </w:p>
        </w:tc>
      </w:tr>
      <w:tr w:rsidR="00CA0B3E" w14:paraId="7BA97AD5" w14:textId="77777777" w:rsidTr="00CE55C8">
        <w:trPr>
          <w:trHeight w:val="846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AB83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lastRenderedPageBreak/>
              <w:t>Sadržaj kolegija (nastavne teme)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4949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UMJETNOST DREVNIH CIVILIZACIJA BLISKOG ISTOKA</w:t>
            </w:r>
          </w:p>
          <w:p w14:paraId="103509B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01.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Uvodni dio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: povijesne i društvene okolnosti razvoja umjetničkog izražavanja kod čovjeka; nastanak prvih prapovijesnih umjetničkih djela  </w:t>
            </w:r>
          </w:p>
          <w:p w14:paraId="5DC2BFC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Mezopotamija - Sumersko-akadska država: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arhitektura - zigurati; pregled umjetničkih rukotvorina: figuralna plastika, skulptura, zlatarstvo u nalazištima (Uruk, Ur, Lagaš).</w:t>
            </w:r>
          </w:p>
          <w:p w14:paraId="1343BFF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02.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Mezopotamija II. Asirsko carstvo: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arhitektura, kiparstvo, reljefna dekoracija; </w:t>
            </w:r>
          </w:p>
          <w:p w14:paraId="292705B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Babilonsko carstvo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u doba Hamurabija i Nabukodonosora; </w:t>
            </w:r>
          </w:p>
          <w:p w14:paraId="5913522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Perzijsko (Ahemenidsko) carstvo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arhitektura, kiparstvo, reljefi</w:t>
            </w:r>
          </w:p>
          <w:p w14:paraId="5542F0F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UMJETNOST DINASTIJSKOG EGIPTA</w:t>
            </w:r>
          </w:p>
          <w:p w14:paraId="04221A6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03. Uvod u egipatsku umjetnost: zemljopisni položaj, istraživanja, kronologija. </w:t>
            </w:r>
          </w:p>
          <w:p w14:paraId="2B5CAF6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Umjetnost i arhitektura u doba Ujedinjenja, Stare i Srednje države</w:t>
            </w:r>
          </w:p>
          <w:p w14:paraId="1DC0BF4F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04.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Umjetnost i arhitektura u doba Nove države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- 18.-20. dinastija</w:t>
            </w:r>
          </w:p>
          <w:p w14:paraId="0677ED7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UMJETNOST EGEJSKIH CIVILIZACIJA BRONČANOG DOBA</w:t>
            </w:r>
          </w:p>
          <w:p w14:paraId="41DE2881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05. Prirodni i zemljopisni položaj Grčke i šireg prostora Egeje; povijest istraživanja i pregled otkrića najvažnijih lokaliteta.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Egejska kronologija: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podjela na kikladsko, kretsko i mikensko razdoblje.</w:t>
            </w:r>
          </w:p>
          <w:p w14:paraId="02C4A5C6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Kikladska kultura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sitna figuralna plastika (kikladski idoli), zidno slikarstvo otoka There</w:t>
            </w:r>
          </w:p>
          <w:p w14:paraId="4D18464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Kretska (minojska) kultura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 gradova-palača (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Knossos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, 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Phaistos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, 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Haghia Triada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) i</w:t>
            </w:r>
          </w:p>
          <w:p w14:paraId="374D68E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umjetnost (keramički stilovi, zidno slikarstvo)</w:t>
            </w:r>
          </w:p>
          <w:p w14:paraId="2FBEB64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06.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Mikenska (heladska) kultura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 - mikenske kraljevske citadele, tipovi  grobnica: kraljevski grobni krugovi, tolosi; slikarstvo na vazama, zidno slikarstvo, zlatarski proizvodi (Mikena, Tirint i dr.)</w:t>
            </w:r>
          </w:p>
          <w:p w14:paraId="42643A8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UMJETNOST ANTIČKE GRČKE</w:t>
            </w:r>
          </w:p>
          <w:p w14:paraId="1A27353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07.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Geometrijski i orijentalizirajući stil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arhitektura, slikarstvo na vazama.</w:t>
            </w:r>
          </w:p>
          <w:p w14:paraId="6D31AB2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Podjela i kronologija arhajskog razdoblja</w:t>
            </w:r>
          </w:p>
          <w:p w14:paraId="258053D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Grčko arhajsko slikarstvo na vazama</w:t>
            </w:r>
          </w:p>
          <w:p w14:paraId="471CE9A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08.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Grčka arhajska skulptura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kourosi i kore</w:t>
            </w:r>
          </w:p>
          <w:p w14:paraId="3B3D366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09.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Grčka arhajska arhitektura i arhitektonska skulptura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(Delfi)</w:t>
            </w:r>
          </w:p>
          <w:p w14:paraId="365D4C9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10.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Umjetnost Velike Grčke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  <w:u w:val="single"/>
              </w:rPr>
              <w:t xml:space="preserve">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(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Magna Graecia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)</w:t>
            </w:r>
          </w:p>
          <w:p w14:paraId="344EF1C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11. Podjela i kronologija klasičnog doba:</w:t>
            </w:r>
          </w:p>
          <w:p w14:paraId="539F15DF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Rano klasično doba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  <w:u w:val="single"/>
              </w:rPr>
              <w:t xml:space="preserve">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ili strogi stil: arhitektura (Olimpija) i kiparstvo (Miron)</w:t>
            </w:r>
          </w:p>
          <w:p w14:paraId="1916E20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12.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Zrelo klasično doba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Atenska akropola. Fidija i njegova škola, Poliklet</w:t>
            </w:r>
          </w:p>
          <w:p w14:paraId="1DEA147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13. Ostala važna grčka svetišta (Eleuzina, Epidaur, Tegeja, Efez)</w:t>
            </w:r>
          </w:p>
          <w:p w14:paraId="381FDE9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Kasno klasično doba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arhitektura, kiparstvo (lijepi stil): Praksitel, Skopas, Lizip</w:t>
            </w:r>
          </w:p>
          <w:p w14:paraId="39AC0E8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14. Grčka i svijet helenizma: podjela i kronologija helenizma </w:t>
            </w:r>
          </w:p>
          <w:p w14:paraId="18B5C3D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Umjetnost u doba Aleksandra Makedonskog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(Pella, Vergina) </w:t>
            </w:r>
          </w:p>
          <w:p w14:paraId="1027839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Rani helenizam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(Mauzolej u Halikarnasu)</w:t>
            </w:r>
          </w:p>
          <w:p w14:paraId="56F052A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15.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Srednji helenizam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(Pergamski žrtvenik, Pergamska i Rodska kiparska škola)</w:t>
            </w:r>
          </w:p>
          <w:p w14:paraId="5C9FDB3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    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Kasni helenizam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: arhitektura i kiparstvo</w:t>
            </w:r>
          </w:p>
        </w:tc>
      </w:tr>
      <w:tr w:rsidR="00CA0B3E" w14:paraId="6391B352" w14:textId="77777777" w:rsidTr="00CE55C8">
        <w:trPr>
          <w:trHeight w:val="21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A43E0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Obvezna literatura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AC403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Drevne civilizacije. Velike kulture svijeta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(prir. F. Bourbon), Zagreb, 2009. (podnaslovi: Knos, Atena, Mikena, Paestum; Saqqara i Giza, Karnak, Luxor, Zapadna Teba, Nubijski hramovi, Abu Simbel, Philae; Babilon, Ur, Perzepolis)</w:t>
            </w:r>
          </w:p>
          <w:p w14:paraId="11EE868D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Iščezle civilizacije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Zagreb, 2009. (podnaslovi: Saqqara, Ur, Knos, Mikena, Amarna, Niniva, Babilon, Perzepolis, Olimpija, Del)</w:t>
            </w:r>
          </w:p>
          <w:p w14:paraId="06AC9270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C. J. Du Ry,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Narodi drevnog Istoka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Rijeka, 1970.</w:t>
            </w:r>
          </w:p>
          <w:p w14:paraId="257A838B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W. Westendorf,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Drevni Egipat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Rijeka, 1969.</w:t>
            </w:r>
          </w:p>
          <w:p w14:paraId="68152F74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Boardman,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Greek Art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London, 2012.</w:t>
            </w:r>
          </w:p>
          <w:p w14:paraId="0FCA6BAE" w14:textId="77777777" w:rsidR="00CA0B3E" w:rsidRDefault="00000000">
            <w:pPr>
              <w:pStyle w:val="TijeloA"/>
              <w:numPr>
                <w:ilvl w:val="0"/>
                <w:numId w:val="2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M. Barringer,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The art and archaeology of ancient Greece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Cambridge University Press, 2014.</w:t>
            </w:r>
          </w:p>
        </w:tc>
      </w:tr>
      <w:tr w:rsidR="00CA0B3E" w14:paraId="14881B64" w14:textId="77777777" w:rsidTr="00CE55C8">
        <w:trPr>
          <w:trHeight w:val="262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94B12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 xml:space="preserve">Dodatna literatura 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1DC29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H. W. Janson/A. F. Janson,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Povijest umjetnosti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Varaždin, 2005. (str. 44-109, 110-223)</w:t>
            </w:r>
          </w:p>
          <w:p w14:paraId="39C7FCF1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A. Siliotti,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Egipat: hramovi, ljudi i bogovi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Zagreb, 1999.</w:t>
            </w:r>
          </w:p>
          <w:p w14:paraId="483F80B1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I. Uranić,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Stari Egipat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Zagreb, 2004.</w:t>
            </w:r>
          </w:p>
          <w:p w14:paraId="4738E9A8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Malek,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Egyptian art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Phaidon, 2011.</w:t>
            </w:r>
          </w:p>
          <w:p w14:paraId="6D68A653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F. Durando,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Drevna Grčka, zora zapada,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Zagreb, 1999.</w:t>
            </w:r>
          </w:p>
          <w:p w14:paraId="62C1A540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Boardman,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Greek Sculpture. The Archaic Period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London, 1995.</w:t>
            </w:r>
          </w:p>
          <w:p w14:paraId="39ED860E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Boardman,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Greek Sculpture. The Classical Period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London, 1985.</w:t>
            </w:r>
          </w:p>
          <w:p w14:paraId="683C9FF3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J. Boardman,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Greek Sculpture. The Late Classical Period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London, 1995.</w:t>
            </w:r>
          </w:p>
          <w:p w14:paraId="78D11773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A. Juric,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Grčka - od mitova do antičkih spomenika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Rijeka, 2001. (str. 11-66, 139-216, 219-282, 324-387, 424-453, 480-488)</w:t>
            </w:r>
          </w:p>
          <w:p w14:paraId="087D7F62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R. R. R. Smith,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Hellenistic Sculpture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, London, 1991.</w:t>
            </w:r>
          </w:p>
          <w:p w14:paraId="518C7598" w14:textId="77777777" w:rsidR="00CA0B3E" w:rsidRDefault="00000000">
            <w:pPr>
              <w:pStyle w:val="TijeloA"/>
              <w:numPr>
                <w:ilvl w:val="0"/>
                <w:numId w:val="3"/>
              </w:numPr>
              <w:spacing w:before="20" w:after="20"/>
              <w:rPr>
                <w:rFonts w:ascii="Merriweather Regular" w:hAnsi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L. Burn, 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 xml:space="preserve">Hellenistic Art from Alexander the Great to Augustus,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Los Angeles, 2004.</w:t>
            </w:r>
          </w:p>
        </w:tc>
      </w:tr>
      <w:tr w:rsidR="00CA0B3E" w14:paraId="245EBDF7" w14:textId="77777777" w:rsidTr="00CE55C8">
        <w:trPr>
          <w:trHeight w:val="88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F96A2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8D6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9" w:history="1">
              <w:r>
                <w:rPr>
                  <w:rStyle w:val="Hyperlink1"/>
                  <w:rFonts w:ascii="Merriweather Regular" w:hAnsi="Merriweather Regular"/>
                  <w:sz w:val="16"/>
                  <w:szCs w:val="16"/>
                  <w:u w:val="single"/>
                </w:rPr>
                <w:t>http://arthistoryresources.net/ARTHLinks.html</w:t>
              </w:r>
            </w:hyperlink>
          </w:p>
          <w:p w14:paraId="3846BBD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10" w:history="1">
              <w:r>
                <w:rPr>
                  <w:rStyle w:val="Hyperlink1"/>
                  <w:rFonts w:ascii="Merriweather Regular" w:hAnsi="Merriweather Regular"/>
                  <w:sz w:val="16"/>
                  <w:szCs w:val="16"/>
                  <w:u w:val="single"/>
                </w:rPr>
                <w:t>https://www.ancient.eu/explore/8/</w:t>
              </w:r>
            </w:hyperlink>
          </w:p>
          <w:p w14:paraId="0CA1461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  <w:u w:val="single"/>
              </w:rPr>
            </w:pPr>
            <w:hyperlink r:id="rId11" w:history="1">
              <w:r>
                <w:rPr>
                  <w:rStyle w:val="Hyperlink1"/>
                  <w:rFonts w:ascii="Merriweather Regular" w:hAnsi="Merriweather Regular"/>
                  <w:sz w:val="16"/>
                  <w:szCs w:val="16"/>
                  <w:u w:val="single"/>
                </w:rPr>
                <w:t>http://www.livius.org</w:t>
              </w:r>
            </w:hyperlink>
          </w:p>
          <w:p w14:paraId="220B3E3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hyperlink r:id="rId12" w:history="1">
              <w:r>
                <w:rPr>
                  <w:rStyle w:val="Hyperlink0"/>
                </w:rPr>
                <w:t>https://www.ancient-greece.org/index.html</w:t>
              </w:r>
            </w:hyperlink>
          </w:p>
        </w:tc>
      </w:tr>
      <w:tr w:rsidR="00CA0B3E" w14:paraId="51DB8E71" w14:textId="77777777" w:rsidTr="00CE55C8">
        <w:trPr>
          <w:trHeight w:val="30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A7B7A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Provjera ishoda učenja (prema uputama AZVO)</w:t>
            </w:r>
          </w:p>
        </w:tc>
        <w:tc>
          <w:tcPr>
            <w:tcW w:w="59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F3D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center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Samo završni ispit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C7B0" w14:textId="77777777" w:rsidR="00CA0B3E" w:rsidRDefault="00CA0B3E"/>
        </w:tc>
      </w:tr>
      <w:tr w:rsidR="00CA0B3E" w14:paraId="3AEC7F4F" w14:textId="77777777" w:rsidTr="00CE55C8">
        <w:trPr>
          <w:trHeight w:val="4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46747" w14:textId="77777777" w:rsidR="00CA0B3E" w:rsidRDefault="00CA0B3E"/>
        </w:tc>
        <w:tc>
          <w:tcPr>
            <w:tcW w:w="20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B1404" w14:textId="77777777" w:rsidR="00CA0B3E" w:rsidRDefault="00000000">
            <w:pPr>
              <w:pStyle w:val="TijeloA"/>
              <w:widowControl w:val="0"/>
              <w:spacing w:before="20" w:after="20"/>
              <w:jc w:val="center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završni</w:t>
            </w:r>
          </w:p>
          <w:p w14:paraId="5CABB5CB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pismeni ispit</w:t>
            </w:r>
          </w:p>
        </w:tc>
        <w:tc>
          <w:tcPr>
            <w:tcW w:w="2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A0C81" w14:textId="77777777" w:rsidR="00CA0B3E" w:rsidRDefault="00000000">
            <w:pPr>
              <w:pStyle w:val="TijeloA"/>
              <w:widowControl w:val="0"/>
              <w:spacing w:before="20" w:after="20"/>
              <w:jc w:val="center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završni</w:t>
            </w:r>
          </w:p>
          <w:p w14:paraId="796E8FF2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usmeni ispit</w:t>
            </w:r>
          </w:p>
        </w:tc>
        <w:tc>
          <w:tcPr>
            <w:tcW w:w="18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52403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pismeni i usmeni završni ispit</w:t>
            </w:r>
          </w:p>
        </w:tc>
        <w:tc>
          <w:tcPr>
            <w:tcW w:w="1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4C8C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praktični rad i završni ispit</w:t>
            </w:r>
          </w:p>
        </w:tc>
      </w:tr>
      <w:tr w:rsidR="00CA0B3E" w14:paraId="79B3D27A" w14:textId="77777777" w:rsidTr="00CE55C8">
        <w:trPr>
          <w:trHeight w:val="124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DCDBA2" w14:textId="77777777" w:rsidR="00CA0B3E" w:rsidRDefault="00CA0B3E"/>
        </w:tc>
        <w:tc>
          <w:tcPr>
            <w:tcW w:w="12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298D7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samo kolokvij/zadaće</w:t>
            </w:r>
          </w:p>
        </w:tc>
        <w:tc>
          <w:tcPr>
            <w:tcW w:w="1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E326A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kolokvij / zadaća i završni ispit</w:t>
            </w:r>
          </w:p>
        </w:tc>
        <w:tc>
          <w:tcPr>
            <w:tcW w:w="1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10332" w14:textId="77777777" w:rsidR="00CA0B3E" w:rsidRDefault="00000000">
            <w:pPr>
              <w:pStyle w:val="TijeloA"/>
              <w:widowControl w:val="0"/>
              <w:spacing w:before="20" w:after="20"/>
              <w:jc w:val="center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seminarski</w:t>
            </w:r>
          </w:p>
          <w:p w14:paraId="4CD46437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rad</w:t>
            </w:r>
          </w:p>
        </w:tc>
        <w:tc>
          <w:tcPr>
            <w:tcW w:w="1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5DA9" w14:textId="77777777" w:rsidR="00CA0B3E" w:rsidRDefault="00000000">
            <w:pPr>
              <w:pStyle w:val="TijeloA"/>
              <w:widowControl w:val="0"/>
              <w:spacing w:before="20" w:after="20"/>
              <w:jc w:val="center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seminarski</w:t>
            </w:r>
          </w:p>
          <w:p w14:paraId="4DB6E167" w14:textId="77777777" w:rsidR="00CA0B3E" w:rsidRDefault="00000000">
            <w:pPr>
              <w:pStyle w:val="TijeloA"/>
              <w:widowControl w:val="0"/>
              <w:spacing w:before="20" w:after="20"/>
              <w:jc w:val="center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rad i završni ispit</w:t>
            </w:r>
          </w:p>
        </w:tc>
        <w:tc>
          <w:tcPr>
            <w:tcW w:w="1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2116B" w14:textId="77777777" w:rsidR="00CA0B3E" w:rsidRDefault="00000000">
            <w:pPr>
              <w:pStyle w:val="TijeloA"/>
              <w:widowControl w:val="0"/>
              <w:tabs>
                <w:tab w:val="center" w:pos="759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praktični rad</w:t>
            </w:r>
          </w:p>
        </w:tc>
        <w:tc>
          <w:tcPr>
            <w:tcW w:w="1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33062" w14:textId="77777777" w:rsidR="00CA0B3E" w:rsidRDefault="00000000">
            <w:pPr>
              <w:pStyle w:val="TijeloA"/>
              <w:widowControl w:val="0"/>
              <w:tabs>
                <w:tab w:val="center" w:pos="759"/>
              </w:tabs>
              <w:spacing w:before="20" w:after="20"/>
              <w:jc w:val="center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drugi oblici</w:t>
            </w:r>
          </w:p>
        </w:tc>
      </w:tr>
      <w:tr w:rsidR="00CA0B3E" w14:paraId="4A16DDDC" w14:textId="77777777" w:rsidTr="00CE55C8">
        <w:trPr>
          <w:trHeight w:val="204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78FA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Način formiranja završne ocjene (%)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BC9B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Studenti tijekom semestra mogu pristupiti dvama kolokvijima koji će obuhvatiti dio građe kolegija, a održat će se u pismenom obliku s pitanjima koja zahtijevaju nešto opširnije opisne odgovore. Uspješnim polaganjem s najmanje 60% bodova studenti se u potpunosti oslobađaju obveze polaganja tog dijela nastavne građe na završnom ispitu kolegija (ukoliko prihvaćaju postignuti rezultat). Izlazak na kolokvij nije obavezan.</w:t>
            </w:r>
          </w:p>
          <w:p w14:paraId="02B7391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Temeljni način provjere znanja predstavlja završni ispit koji se izvodi u pismenom i usmenom obliku. Na pismenom ispitu od studenta se zahtijevaju kraći tekstualni odgovori, a potrebno je postići najmanje 60% od ukupnog postotka bodova kako bi se pristupilo usmenom dijelu ispita. Usmeni ispit služi u svrhu formiranja konačne ocjene prema omjeru: 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u w:val="single"/>
              </w:rPr>
              <w:t>33% prvi kolokvij, 33% drugi kolokvij, 33% završni ispit.</w:t>
            </w:r>
          </w:p>
        </w:tc>
      </w:tr>
      <w:tr w:rsidR="00CA0B3E" w14:paraId="64C4F8A4" w14:textId="77777777" w:rsidTr="00CE55C8">
        <w:trPr>
          <w:trHeight w:val="220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0FF9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3A62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Manje od 60%</w:t>
            </w:r>
          </w:p>
        </w:tc>
        <w:tc>
          <w:tcPr>
            <w:tcW w:w="616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6F0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% nedovoljan (1)</w:t>
            </w:r>
          </w:p>
        </w:tc>
      </w:tr>
      <w:tr w:rsidR="00CA0B3E" w14:paraId="6DDA96C3" w14:textId="77777777" w:rsidTr="00CE55C8">
        <w:trPr>
          <w:trHeight w:val="2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3A602" w14:textId="77777777" w:rsidR="00CA0B3E" w:rsidRDefault="00CA0B3E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4934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60-70%</w:t>
            </w:r>
          </w:p>
        </w:tc>
        <w:tc>
          <w:tcPr>
            <w:tcW w:w="616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33B6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% dovoljan (2)</w:t>
            </w:r>
          </w:p>
        </w:tc>
      </w:tr>
      <w:tr w:rsidR="00CA0B3E" w14:paraId="04B88668" w14:textId="77777777" w:rsidTr="00CE55C8">
        <w:trPr>
          <w:trHeight w:val="2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6A774" w14:textId="77777777" w:rsidR="00CA0B3E" w:rsidRDefault="00CA0B3E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30DA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70-80%</w:t>
            </w:r>
          </w:p>
        </w:tc>
        <w:tc>
          <w:tcPr>
            <w:tcW w:w="616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F3A3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% dobar (3)</w:t>
            </w:r>
          </w:p>
        </w:tc>
      </w:tr>
      <w:tr w:rsidR="00CA0B3E" w14:paraId="5648195D" w14:textId="77777777" w:rsidTr="00CE55C8">
        <w:trPr>
          <w:trHeight w:val="2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8E906" w14:textId="77777777" w:rsidR="00CA0B3E" w:rsidRDefault="00CA0B3E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493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80-90%</w:t>
            </w:r>
          </w:p>
        </w:tc>
        <w:tc>
          <w:tcPr>
            <w:tcW w:w="616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5D27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% vrlo dobar (4)</w:t>
            </w:r>
          </w:p>
        </w:tc>
      </w:tr>
      <w:tr w:rsidR="00CA0B3E" w14:paraId="0A577C6F" w14:textId="77777777" w:rsidTr="00CE55C8">
        <w:trPr>
          <w:trHeight w:val="22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01E179" w14:textId="77777777" w:rsidR="00CA0B3E" w:rsidRDefault="00CA0B3E"/>
        </w:tc>
        <w:tc>
          <w:tcPr>
            <w:tcW w:w="13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ACE3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90-100%</w:t>
            </w:r>
          </w:p>
        </w:tc>
        <w:tc>
          <w:tcPr>
            <w:tcW w:w="616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3057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% izvrstan (5)</w:t>
            </w:r>
          </w:p>
        </w:tc>
      </w:tr>
      <w:tr w:rsidR="00CA0B3E" w14:paraId="79823127" w14:textId="77777777" w:rsidTr="00CE55C8">
        <w:trPr>
          <w:trHeight w:val="130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D677E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Nač</w:t>
            </w:r>
            <w:r>
              <w:rPr>
                <w:rStyle w:val="Bez"/>
                <w:rFonts w:ascii="Merriweather Bold" w:hAnsi="Merriweather Bold"/>
                <w:sz w:val="16"/>
                <w:szCs w:val="16"/>
                <w:lang w:val="it-IT"/>
              </w:rPr>
              <w:t>in pra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ćenja kvalitete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3D52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studentska evaluacija nastave na razini Sveučilišta </w:t>
            </w:r>
          </w:p>
          <w:p w14:paraId="4AA51F85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studentska evaluacija nastave na razini sastavnice</w:t>
            </w:r>
          </w:p>
          <w:p w14:paraId="3BB71C04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interna evaluacija nastave </w:t>
            </w:r>
          </w:p>
          <w:p w14:paraId="7ABA921A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☒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6283E8AD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</w:pPr>
            <w:r>
              <w:rPr>
                <w:rStyle w:val="Bez"/>
                <w:rFonts w:ascii="MS Gothic" w:hAnsi="MS Gothic"/>
                <w:sz w:val="16"/>
                <w:szCs w:val="16"/>
              </w:rPr>
              <w:t>☐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ostalo</w:t>
            </w:r>
          </w:p>
        </w:tc>
      </w:tr>
      <w:tr w:rsidR="00CA0B3E" w14:paraId="787B8718" w14:textId="77777777" w:rsidTr="00CE55C8">
        <w:trPr>
          <w:trHeight w:val="5200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8C1F" w14:textId="77777777" w:rsidR="00CA0B3E" w:rsidRDefault="00000000">
            <w:pPr>
              <w:pStyle w:val="TijeloA"/>
              <w:spacing w:before="20" w:after="20"/>
              <w:rPr>
                <w:rStyle w:val="Bez"/>
                <w:rFonts w:ascii="Merriweather Bold" w:eastAsia="Merriweather Bold" w:hAnsi="Merriweather Bold" w:cs="Merriweather Bold"/>
                <w:sz w:val="16"/>
                <w:szCs w:val="16"/>
              </w:rPr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lastRenderedPageBreak/>
              <w:t>Napomena</w:t>
            </w:r>
            <w:r>
              <w:rPr>
                <w:rStyle w:val="Bez"/>
                <w:rFonts w:ascii="Merriweather Bold" w:hAnsi="Merriweather Bold"/>
                <w:sz w:val="16"/>
                <w:szCs w:val="16"/>
                <w:lang w:val="ru-RU"/>
              </w:rPr>
              <w:t> </w:t>
            </w: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/</w:t>
            </w:r>
            <w:r>
              <w:rPr>
                <w:rStyle w:val="Bez"/>
                <w:rFonts w:ascii="Merriweather Bold" w:hAnsi="Merriweather Bold"/>
                <w:sz w:val="16"/>
                <w:szCs w:val="16"/>
                <w:lang w:val="ru-RU"/>
              </w:rPr>
              <w:t> </w:t>
            </w:r>
          </w:p>
          <w:p w14:paraId="4DA04AEA" w14:textId="77777777" w:rsidR="00CA0B3E" w:rsidRDefault="00000000">
            <w:pPr>
              <w:pStyle w:val="TijeloA"/>
              <w:spacing w:before="20" w:after="20"/>
            </w:pPr>
            <w:r>
              <w:rPr>
                <w:rStyle w:val="Bez"/>
                <w:rFonts w:ascii="Merriweather Bold" w:hAnsi="Merriweather Bold"/>
                <w:sz w:val="16"/>
                <w:szCs w:val="16"/>
              </w:rPr>
              <w:t>Ostalo</w:t>
            </w:r>
          </w:p>
        </w:tc>
        <w:tc>
          <w:tcPr>
            <w:tcW w:w="7543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E20E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Sukladno čl. 6. 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  <w:lang w:val="it-IT"/>
              </w:rPr>
              <w:t>Eti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čkog kodeksa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</w:t>
            </w:r>
            <w:r>
              <w:rPr>
                <w:rStyle w:val="Bez"/>
                <w:rFonts w:ascii="Arial Unicode MS" w:hAnsi="Arial Unicode MS"/>
                <w:sz w:val="16"/>
                <w:szCs w:val="16"/>
                <w:rtl/>
                <w:lang w:val="ar-SA"/>
              </w:rPr>
              <w:t>“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. </w:t>
            </w:r>
          </w:p>
          <w:p w14:paraId="1AFAEDE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Prema čl. 14. 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  <w:lang w:val="it-IT"/>
              </w:rPr>
              <w:t>Eti</w:t>
            </w:r>
            <w:r>
              <w:rPr>
                <w:rStyle w:val="Bez"/>
                <w:rFonts w:ascii="Merriweather Light" w:hAnsi="Merriweather Light"/>
                <w:i/>
                <w:iCs/>
                <w:sz w:val="16"/>
                <w:szCs w:val="16"/>
              </w:rPr>
              <w:t>čkog kodeksa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 Sveučilišta u Zadru, od studenata se očekuje „odgovorno i savjesno ispunjavanje obveza. […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pt-PT"/>
              </w:rPr>
              <w:t>] Du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žnost je studenata/studentica čuvati ugled i dostojanstvo svih članova/članica sveučilišne zajednice i Sveučilišta u Zadru u cjelini, promovirati moralne i akademske vrijednosti i nač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pt-PT"/>
              </w:rPr>
              <w:t>ela. [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…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pt-PT"/>
              </w:rPr>
              <w:t xml:space="preserve">] </w:t>
            </w:r>
          </w:p>
          <w:p w14:paraId="2785A750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>Eti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čki je nedopušten svaki čin koji predstavlja povrjedu akademskog poštenja. To uključuje, ali se ne ograničava samo na: </w:t>
            </w:r>
          </w:p>
          <w:p w14:paraId="4D706D39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- razne oblike prijevare kao što su uporaba ili posjedovanje knjiga, bilježaka, podataka, elektroničkih naprava ili drugih pomagala za vrijeme ispita, osim u slučajevima kada je to izrijekom dopuš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 xml:space="preserve">teno; </w:t>
            </w:r>
          </w:p>
          <w:p w14:paraId="6D1AF048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Style w:val="Bez"/>
                <w:rFonts w:ascii="Arial Unicode MS" w:hAnsi="Arial Unicode MS"/>
                <w:sz w:val="16"/>
                <w:szCs w:val="16"/>
                <w:rtl/>
                <w:lang w:val="ar-SA"/>
              </w:rPr>
              <w:t>“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.</w:t>
            </w:r>
          </w:p>
          <w:p w14:paraId="3D80EC6C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>
                <w:rPr>
                  <w:rStyle w:val="Hyperlink2"/>
                  <w:sz w:val="16"/>
                  <w:szCs w:val="16"/>
                </w:rPr>
                <w:t>Pravilnik o stegovnoj odgovornosti studenata/studentica Sveučilišta u Zadru</w:t>
              </w:r>
            </w:hyperlink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.</w:t>
            </w:r>
          </w:p>
          <w:p w14:paraId="15FAC53A" w14:textId="77777777" w:rsidR="00CA0B3E" w:rsidRDefault="00CA0B3E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</w:p>
          <w:p w14:paraId="506CFB51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7FF22392" w14:textId="77777777" w:rsidR="00CA0B3E" w:rsidRDefault="00CA0B3E">
            <w:pPr>
              <w:pStyle w:val="TijeloA"/>
              <w:tabs>
                <w:tab w:val="left" w:pos="1218"/>
              </w:tabs>
              <w:spacing w:before="20" w:after="20"/>
              <w:jc w:val="both"/>
              <w:rPr>
                <w:rStyle w:val="Bez"/>
                <w:rFonts w:ascii="Merriweather Regular" w:eastAsia="Merriweather Regular" w:hAnsi="Merriweather Regular" w:cs="Merriweather Regular"/>
                <w:sz w:val="16"/>
                <w:szCs w:val="16"/>
              </w:rPr>
            </w:pPr>
          </w:p>
          <w:p w14:paraId="074B8D61" w14:textId="77777777" w:rsidR="00CA0B3E" w:rsidRDefault="00000000">
            <w:pPr>
              <w:pStyle w:val="TijeloA"/>
              <w:tabs>
                <w:tab w:val="left" w:pos="1218"/>
              </w:tabs>
              <w:spacing w:before="20" w:after="20"/>
              <w:jc w:val="both"/>
            </w:pPr>
            <w:r>
              <w:rPr>
                <w:rStyle w:val="Bez"/>
                <w:rFonts w:ascii="Merriweather Regular" w:hAnsi="Merriweather Regular"/>
                <w:sz w:val="16"/>
                <w:szCs w:val="16"/>
              </w:rPr>
              <w:t>U kolegiju se koristi Merlin, sustav za e-učenje, pa su studentima potrebni AAI rač</w:t>
            </w:r>
            <w:r>
              <w:rPr>
                <w:rStyle w:val="Bez"/>
                <w:rFonts w:ascii="Merriweather Regular" w:hAnsi="Merriweather Regular"/>
                <w:sz w:val="16"/>
                <w:szCs w:val="16"/>
                <w:lang w:val="it-IT"/>
              </w:rPr>
              <w:t>uni.</w:t>
            </w:r>
          </w:p>
        </w:tc>
      </w:tr>
    </w:tbl>
    <w:p w14:paraId="35FAA126" w14:textId="77777777" w:rsidR="00CA0B3E" w:rsidRDefault="00CA0B3E">
      <w:pPr>
        <w:pStyle w:val="TijeloA"/>
        <w:widowControl w:val="0"/>
        <w:jc w:val="center"/>
      </w:pPr>
    </w:p>
    <w:sectPr w:rsidR="00CA0B3E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A24D" w14:textId="77777777" w:rsidR="007D1BE0" w:rsidRDefault="007D1BE0">
      <w:r>
        <w:separator/>
      </w:r>
    </w:p>
  </w:endnote>
  <w:endnote w:type="continuationSeparator" w:id="0">
    <w:p w14:paraId="407A3F11" w14:textId="77777777" w:rsidR="007D1BE0" w:rsidRDefault="007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 Regula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 Bold">
    <w:panose1 w:val="00000800000000000000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E351" w14:textId="77777777" w:rsidR="00CA0B3E" w:rsidRDefault="00CA0B3E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111F" w14:textId="77777777" w:rsidR="007D1BE0" w:rsidRDefault="007D1BE0">
      <w:r>
        <w:separator/>
      </w:r>
    </w:p>
  </w:footnote>
  <w:footnote w:type="continuationSeparator" w:id="0">
    <w:p w14:paraId="32E12EDE" w14:textId="77777777" w:rsidR="007D1BE0" w:rsidRDefault="007D1BE0">
      <w:r>
        <w:continuationSeparator/>
      </w:r>
    </w:p>
  </w:footnote>
  <w:footnote w:type="continuationNotice" w:id="1">
    <w:p w14:paraId="54E42A6E" w14:textId="77777777" w:rsidR="007D1BE0" w:rsidRDefault="007D1BE0"/>
  </w:footnote>
  <w:footnote w:id="2">
    <w:p w14:paraId="0F9D2FF0" w14:textId="77777777" w:rsidR="00CA0B3E" w:rsidRDefault="00000000">
      <w:pPr>
        <w:pStyle w:val="FootnoteText"/>
        <w:jc w:val="both"/>
      </w:pPr>
      <w:r>
        <w:rPr>
          <w:rFonts w:ascii="Merriweather Regular" w:eastAsia="Merriweather Regular" w:hAnsi="Merriweather Regular" w:cs="Merriweather Regular"/>
          <w:sz w:val="16"/>
          <w:szCs w:val="16"/>
          <w:vertAlign w:val="superscript"/>
        </w:rPr>
        <w:footnoteRef/>
      </w:r>
      <w:r>
        <w:rPr>
          <w:rFonts w:ascii="Merriweather Regular" w:hAnsi="Merriweather Regular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0A93" w14:textId="77777777" w:rsidR="00CA0B3E" w:rsidRDefault="00000000">
    <w:pPr>
      <w:pStyle w:val="Naslov2A"/>
      <w:tabs>
        <w:tab w:val="left" w:pos="1418"/>
      </w:tabs>
      <w:spacing w:before="0" w:after="0"/>
      <w:ind w:left="1560"/>
      <w:rPr>
        <w:rFonts w:ascii="Merriweather Bold" w:hAnsi="Merriweather Bold"/>
        <w:b w:val="0"/>
        <w:bCs w:val="0"/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F32CDF" wp14:editId="630D4857">
              <wp:simplePos x="0" y="0"/>
              <wp:positionH relativeFrom="page">
                <wp:posOffset>692149</wp:posOffset>
              </wp:positionH>
              <wp:positionV relativeFrom="page">
                <wp:posOffset>181610</wp:posOffset>
              </wp:positionV>
              <wp:extent cx="1163320" cy="957581"/>
              <wp:effectExtent l="0" t="0" r="0" b="0"/>
              <wp:wrapNone/>
              <wp:docPr id="1073741825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320" cy="9575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5972423" w14:textId="77777777" w:rsidR="00CA0B3E" w:rsidRDefault="00000000">
                          <w:pPr>
                            <w:pStyle w:val="TijeloA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2C8CFC" wp14:editId="3A29519A">
                                <wp:extent cx="724206" cy="782769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4206" cy="7827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4.5pt;margin-top:14.3pt;width:91.6pt;height:75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filltype="solid" color="#FFFFFF" opacity="100.0%" weight="0.8pt" dashstyle="solid" endcap="flat" miterlimit="8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Tijelo A"/>
                    </w:pPr>
                    <w:r>
                      <w:drawing xmlns:a="http://schemas.openxmlformats.org/drawingml/2006/main">
                        <wp:inline distT="0" distB="0" distL="0" distR="0">
                          <wp:extent cx="724206" cy="782769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4206" cy="7827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 w14:paraId="104761D4" w14:textId="77777777" w:rsidR="00CA0B3E" w:rsidRDefault="00000000">
    <w:pPr>
      <w:pStyle w:val="TijeloA"/>
      <w:pBdr>
        <w:bottom w:val="single" w:sz="4" w:space="0" w:color="000000"/>
      </w:pBdr>
      <w:tabs>
        <w:tab w:val="left" w:pos="1418"/>
      </w:tabs>
      <w:spacing w:before="0" w:after="0"/>
      <w:ind w:left="1560"/>
      <w:jc w:val="right"/>
    </w:pPr>
    <w:r>
      <w:rPr>
        <w:rFonts w:ascii="Merriweather Regular" w:hAnsi="Merriweather Regular"/>
        <w:sz w:val="18"/>
        <w:szCs w:val="18"/>
      </w:rPr>
      <w:t>Obrazac 1.3.2. Izvedbeni plan nastave (</w:t>
    </w:r>
    <w:r>
      <w:rPr>
        <w:rFonts w:ascii="Merriweather Light" w:hAnsi="Merriweather Light"/>
        <w:i/>
        <w:iCs/>
        <w:sz w:val="18"/>
        <w:szCs w:val="18"/>
      </w:rPr>
      <w:t>syllabus</w:t>
    </w:r>
    <w:r>
      <w:rPr>
        <w:rFonts w:ascii="Merriweather Regular" w:hAnsi="Merriweather Regular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E8C"/>
    <w:multiLevelType w:val="hybridMultilevel"/>
    <w:tmpl w:val="4D809D8A"/>
    <w:lvl w:ilvl="0" w:tplc="64D245AC">
      <w:start w:val="1"/>
      <w:numFmt w:val="decimal"/>
      <w:lvlText w:val="%1."/>
      <w:lvlJc w:val="left"/>
      <w:pPr>
        <w:tabs>
          <w:tab w:val="left" w:pos="12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580254">
      <w:start w:val="1"/>
      <w:numFmt w:val="lowerLetter"/>
      <w:suff w:val="nothing"/>
      <w:lvlText w:val="%2."/>
      <w:lvlJc w:val="left"/>
      <w:pPr>
        <w:tabs>
          <w:tab w:val="left" w:pos="1218"/>
        </w:tabs>
        <w:ind w:left="1176" w:hanging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88B18">
      <w:start w:val="1"/>
      <w:numFmt w:val="lowerRoman"/>
      <w:lvlText w:val="%3."/>
      <w:lvlJc w:val="left"/>
      <w:pPr>
        <w:tabs>
          <w:tab w:val="left" w:pos="1218"/>
        </w:tabs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ACC78">
      <w:start w:val="1"/>
      <w:numFmt w:val="decimal"/>
      <w:lvlText w:val="%4."/>
      <w:lvlJc w:val="left"/>
      <w:pPr>
        <w:tabs>
          <w:tab w:val="left" w:pos="121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4E3D84">
      <w:start w:val="1"/>
      <w:numFmt w:val="lowerLetter"/>
      <w:lvlText w:val="%5."/>
      <w:lvlJc w:val="left"/>
      <w:pPr>
        <w:tabs>
          <w:tab w:val="left" w:pos="121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86E79A">
      <w:start w:val="1"/>
      <w:numFmt w:val="lowerRoman"/>
      <w:lvlText w:val="%6."/>
      <w:lvlJc w:val="left"/>
      <w:pPr>
        <w:tabs>
          <w:tab w:val="left" w:pos="1218"/>
        </w:tabs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3E75FC">
      <w:start w:val="1"/>
      <w:numFmt w:val="decimal"/>
      <w:lvlText w:val="%7."/>
      <w:lvlJc w:val="left"/>
      <w:pPr>
        <w:tabs>
          <w:tab w:val="left" w:pos="121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9E0B3A">
      <w:start w:val="1"/>
      <w:numFmt w:val="lowerLetter"/>
      <w:lvlText w:val="%8."/>
      <w:lvlJc w:val="left"/>
      <w:pPr>
        <w:tabs>
          <w:tab w:val="left" w:pos="121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E0E42">
      <w:start w:val="1"/>
      <w:numFmt w:val="lowerRoman"/>
      <w:lvlText w:val="%9."/>
      <w:lvlJc w:val="left"/>
      <w:pPr>
        <w:tabs>
          <w:tab w:val="left" w:pos="1218"/>
        </w:tabs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2962F2"/>
    <w:multiLevelType w:val="hybridMultilevel"/>
    <w:tmpl w:val="502E4A7E"/>
    <w:lvl w:ilvl="0" w:tplc="4F9EBE9E">
      <w:start w:val="1"/>
      <w:numFmt w:val="bullet"/>
      <w:lvlText w:val="•"/>
      <w:lvlJc w:val="left"/>
      <w:pPr>
        <w:tabs>
          <w:tab w:val="left" w:pos="1218"/>
        </w:tabs>
        <w:ind w:left="35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362F40">
      <w:start w:val="1"/>
      <w:numFmt w:val="bullet"/>
      <w:lvlText w:val="•"/>
      <w:lvlJc w:val="left"/>
      <w:pPr>
        <w:tabs>
          <w:tab w:val="left" w:pos="1218"/>
        </w:tabs>
        <w:ind w:left="107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22E6E">
      <w:start w:val="1"/>
      <w:numFmt w:val="bullet"/>
      <w:lvlText w:val="•"/>
      <w:lvlJc w:val="left"/>
      <w:pPr>
        <w:tabs>
          <w:tab w:val="left" w:pos="1218"/>
        </w:tabs>
        <w:ind w:left="179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659A8">
      <w:start w:val="1"/>
      <w:numFmt w:val="bullet"/>
      <w:lvlText w:val="•"/>
      <w:lvlJc w:val="left"/>
      <w:pPr>
        <w:tabs>
          <w:tab w:val="left" w:pos="1218"/>
        </w:tabs>
        <w:ind w:left="251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641A28">
      <w:start w:val="1"/>
      <w:numFmt w:val="bullet"/>
      <w:lvlText w:val="•"/>
      <w:lvlJc w:val="left"/>
      <w:pPr>
        <w:tabs>
          <w:tab w:val="left" w:pos="1218"/>
        </w:tabs>
        <w:ind w:left="323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3EF7E0">
      <w:start w:val="1"/>
      <w:numFmt w:val="bullet"/>
      <w:lvlText w:val="•"/>
      <w:lvlJc w:val="left"/>
      <w:pPr>
        <w:tabs>
          <w:tab w:val="left" w:pos="1218"/>
        </w:tabs>
        <w:ind w:left="395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232B6">
      <w:start w:val="1"/>
      <w:numFmt w:val="bullet"/>
      <w:lvlText w:val="•"/>
      <w:lvlJc w:val="left"/>
      <w:pPr>
        <w:tabs>
          <w:tab w:val="left" w:pos="1218"/>
        </w:tabs>
        <w:ind w:left="467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7AC138">
      <w:start w:val="1"/>
      <w:numFmt w:val="bullet"/>
      <w:lvlText w:val="•"/>
      <w:lvlJc w:val="left"/>
      <w:pPr>
        <w:tabs>
          <w:tab w:val="left" w:pos="1218"/>
        </w:tabs>
        <w:ind w:left="539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36D37A">
      <w:start w:val="1"/>
      <w:numFmt w:val="bullet"/>
      <w:lvlText w:val="•"/>
      <w:lvlJc w:val="left"/>
      <w:pPr>
        <w:tabs>
          <w:tab w:val="left" w:pos="1218"/>
        </w:tabs>
        <w:ind w:left="611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B11369"/>
    <w:multiLevelType w:val="hybridMultilevel"/>
    <w:tmpl w:val="9C4CA6C2"/>
    <w:lvl w:ilvl="0" w:tplc="EA2E7670">
      <w:start w:val="1"/>
      <w:numFmt w:val="bullet"/>
      <w:lvlText w:val="•"/>
      <w:lvlJc w:val="left"/>
      <w:pPr>
        <w:tabs>
          <w:tab w:val="left" w:pos="1218"/>
        </w:tabs>
        <w:ind w:left="35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A7F9E">
      <w:start w:val="1"/>
      <w:numFmt w:val="bullet"/>
      <w:lvlText w:val="•"/>
      <w:lvlJc w:val="left"/>
      <w:pPr>
        <w:tabs>
          <w:tab w:val="left" w:pos="1218"/>
        </w:tabs>
        <w:ind w:left="107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925818">
      <w:start w:val="1"/>
      <w:numFmt w:val="bullet"/>
      <w:lvlText w:val="•"/>
      <w:lvlJc w:val="left"/>
      <w:pPr>
        <w:tabs>
          <w:tab w:val="left" w:pos="1218"/>
        </w:tabs>
        <w:ind w:left="179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12BA08">
      <w:start w:val="1"/>
      <w:numFmt w:val="bullet"/>
      <w:lvlText w:val="•"/>
      <w:lvlJc w:val="left"/>
      <w:pPr>
        <w:tabs>
          <w:tab w:val="left" w:pos="1218"/>
        </w:tabs>
        <w:ind w:left="251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19DE">
      <w:start w:val="1"/>
      <w:numFmt w:val="bullet"/>
      <w:lvlText w:val="•"/>
      <w:lvlJc w:val="left"/>
      <w:pPr>
        <w:tabs>
          <w:tab w:val="left" w:pos="1218"/>
        </w:tabs>
        <w:ind w:left="323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2256">
      <w:start w:val="1"/>
      <w:numFmt w:val="bullet"/>
      <w:lvlText w:val="•"/>
      <w:lvlJc w:val="left"/>
      <w:pPr>
        <w:tabs>
          <w:tab w:val="left" w:pos="1218"/>
        </w:tabs>
        <w:ind w:left="395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92C5BE">
      <w:start w:val="1"/>
      <w:numFmt w:val="bullet"/>
      <w:lvlText w:val="•"/>
      <w:lvlJc w:val="left"/>
      <w:pPr>
        <w:tabs>
          <w:tab w:val="left" w:pos="1218"/>
        </w:tabs>
        <w:ind w:left="467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1C289A">
      <w:start w:val="1"/>
      <w:numFmt w:val="bullet"/>
      <w:lvlText w:val="•"/>
      <w:lvlJc w:val="left"/>
      <w:pPr>
        <w:tabs>
          <w:tab w:val="left" w:pos="1218"/>
        </w:tabs>
        <w:ind w:left="539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08690">
      <w:start w:val="1"/>
      <w:numFmt w:val="bullet"/>
      <w:lvlText w:val="•"/>
      <w:lvlJc w:val="left"/>
      <w:pPr>
        <w:tabs>
          <w:tab w:val="left" w:pos="1218"/>
        </w:tabs>
        <w:ind w:left="6117" w:hanging="357"/>
      </w:pPr>
      <w:rPr>
        <w:rFonts w:ascii="Merriweather Regular" w:eastAsia="Merriweather Regular" w:hAnsi="Merriweather Regular" w:cs="Merriweather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9010176">
    <w:abstractNumId w:val="0"/>
  </w:num>
  <w:num w:numId="2" w16cid:durableId="1038747946">
    <w:abstractNumId w:val="1"/>
  </w:num>
  <w:num w:numId="3" w16cid:durableId="138178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3E"/>
    <w:rsid w:val="000C3574"/>
    <w:rsid w:val="007D1BE0"/>
    <w:rsid w:val="00CA0B3E"/>
    <w:rsid w:val="00C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4C6F5"/>
  <w15:docId w15:val="{3936AA1F-E991-BE4A-8A01-665AF3C2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HR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slov2A">
    <w:name w:val="Naslov 2 A"/>
    <w:pPr>
      <w:spacing w:before="100" w:after="100"/>
      <w:outlineLvl w:val="0"/>
    </w:pPr>
    <w:rPr>
      <w:rFonts w:cs="Arial Unicode MS"/>
      <w:b/>
      <w:bCs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pPr>
      <w:spacing w:before="120" w:after="12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aglavljeipodnoje">
    <w:name w:val="Zaglavlje i podnožje"/>
    <w:pPr>
      <w:tabs>
        <w:tab w:val="right" w:pos="9020"/>
      </w:tabs>
    </w:pPr>
    <w:rPr>
      <w:rFonts w:ascii="Merriweather Regular" w:eastAsia="Merriweather Regular" w:hAnsi="Merriweather Regular" w:cs="Merriweather Regular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Standardno">
    <w:name w:val="Standardno"/>
    <w:pPr>
      <w:spacing w:before="160" w:line="288" w:lineRule="auto"/>
    </w:pPr>
    <w:rPr>
      <w:rFonts w:ascii="Merriweather Regular" w:hAnsi="Merriweather Regular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ez">
    <w:name w:val="Bez"/>
  </w:style>
  <w:style w:type="character" w:customStyle="1" w:styleId="Hyperlink0">
    <w:name w:val="Hyperlink.0"/>
    <w:basedOn w:val="Bez"/>
    <w:rPr>
      <w:rFonts w:ascii="Merriweather Regular" w:eastAsia="Merriweather Regular" w:hAnsi="Merriweather Regular" w:cs="Merriweather Regular"/>
      <w:outline w:val="0"/>
      <w:color w:val="0000FF"/>
      <w:sz w:val="16"/>
      <w:szCs w:val="16"/>
      <w:u w:val="single" w:color="0000FF"/>
      <w:lang w:val="en-US"/>
    </w:rPr>
  </w:style>
  <w:style w:type="paragraph" w:styleId="ListParagraph">
    <w:name w:val="List Paragraph"/>
    <w:pPr>
      <w:spacing w:before="120" w:after="120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Bez"/>
    <w:rPr>
      <w:outline w:val="0"/>
      <w:color w:val="0000FF"/>
      <w:u w:color="0000FF"/>
      <w:lang w:val="en-US"/>
    </w:rPr>
  </w:style>
  <w:style w:type="character" w:customStyle="1" w:styleId="Hyperlink2">
    <w:name w:val="Hyperlink.2"/>
    <w:basedOn w:val="Bez"/>
    <w:rPr>
      <w:rFonts w:ascii="Merriweather Regular" w:eastAsia="Merriweather Regular" w:hAnsi="Merriweather Regular" w:cs="Merriweather Regular"/>
      <w:i/>
      <w:i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elan@unizd.hr" TargetMode="Externa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zornija@unizd.hr" TargetMode="External"/><Relationship Id="rId12" Type="http://schemas.openxmlformats.org/officeDocument/2006/relationships/hyperlink" Target="https://www.ancient-greece.org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vius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ncient.eu/explore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historyresources.net/ARTHLinks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erriweather Bold"/>
        <a:ea typeface="Merriweather Bold"/>
        <a:cs typeface="Merriweather Bold"/>
      </a:majorFont>
      <a:minorFont>
        <a:latin typeface="Merriweather Regular"/>
        <a:ea typeface="Merriweather Regular"/>
        <a:cs typeface="Merriweather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erriweather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erriweather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1687</Words>
  <Characters>9619</Characters>
  <Application>Microsoft Office Word</Application>
  <DocSecurity>0</DocSecurity>
  <Lines>80</Lines>
  <Paragraphs>22</Paragraphs>
  <ScaleCrop>false</ScaleCrop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 Zornija</cp:lastModifiedBy>
  <cp:revision>2</cp:revision>
  <dcterms:created xsi:type="dcterms:W3CDTF">2025-09-29T01:55:00Z</dcterms:created>
  <dcterms:modified xsi:type="dcterms:W3CDTF">2025-09-29T01:56:00Z</dcterms:modified>
</cp:coreProperties>
</file>